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35"/>
        <w:gridCol w:w="1468"/>
        <w:gridCol w:w="2323"/>
        <w:gridCol w:w="2324"/>
      </w:tblGrid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</w:p>
        </w:tc>
        <w:tc>
          <w:tcPr>
            <w:tcW w:w="1468" w:type="dxa"/>
          </w:tcPr>
          <w:p w:rsidR="00DC505D" w:rsidRPr="00766694" w:rsidRDefault="00DC505D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OR</w:t>
            </w:r>
          </w:p>
        </w:tc>
        <w:tc>
          <w:tcPr>
            <w:tcW w:w="2323" w:type="dxa"/>
          </w:tcPr>
          <w:p w:rsidR="00DC505D" w:rsidRPr="00766694" w:rsidRDefault="00DC505D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95% CI</w:t>
            </w:r>
          </w:p>
        </w:tc>
        <w:tc>
          <w:tcPr>
            <w:tcW w:w="2324" w:type="dxa"/>
          </w:tcPr>
          <w:p w:rsidR="00DC505D" w:rsidRPr="00766694" w:rsidRDefault="00DC505D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P-value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 xml:space="preserve">Fully </w:t>
            </w:r>
            <w:proofErr w:type="spellStart"/>
            <w:r>
              <w:t>Vaccinationstatus</w:t>
            </w:r>
            <w:proofErr w:type="spellEnd"/>
            <w:r>
              <w:t xml:space="preserve"> (vs. Partially)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1.42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0.54 – 3.70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0.46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Sex (Male)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2.9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1.09 – 7.8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0.03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No supplemental oxygen (vs. oxygen supplementation)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0.45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0.06 – 0.29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0.001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No clinical deterioration (vs. renal, hepatic, or neurological deterioration)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0.05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0.01 – 0.22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&lt;0.001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Diastolic Blood Pressure (mmHg)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1.02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0.99 – 1.05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0.09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Heart Rate (beats/min)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1.02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1.00 – 1.05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0.01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Respiratory Rate (breaths/min)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1.18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1.06 – 1.32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0.003</w:t>
            </w:r>
          </w:p>
        </w:tc>
      </w:tr>
      <w:tr w:rsidR="00DC505D" w:rsidTr="009F202F">
        <w:tc>
          <w:tcPr>
            <w:tcW w:w="3235" w:type="dxa"/>
          </w:tcPr>
          <w:p w:rsidR="00DC505D" w:rsidRPr="00B84DC3" w:rsidRDefault="00DC505D" w:rsidP="009F202F">
            <w:pPr>
              <w:spacing w:line="480" w:lineRule="auto"/>
            </w:pPr>
            <w:r>
              <w:t>SPO</w:t>
            </w:r>
            <w:r>
              <w:rPr>
                <w:vertAlign w:val="subscript"/>
              </w:rPr>
              <w:t>2</w:t>
            </w:r>
            <w:r>
              <w:t xml:space="preserve"> (%)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0.05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0.75 – 0.97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0.017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WBC</w:t>
            </w:r>
            <w:r>
              <w:rPr>
                <w:rFonts w:cstheme="minorHAnsi"/>
              </w:rPr>
              <w:t xml:space="preserve"> (4.5 – 12.5 x 10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uL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1.10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0.98 – 1.24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0.08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Platelets</w:t>
            </w:r>
            <w:r>
              <w:rPr>
                <w:rFonts w:cstheme="minorHAnsi"/>
              </w:rPr>
              <w:t>(150 – 450 x 10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uL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0.99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0.99 – 1.01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0.14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tabs>
                <w:tab w:val="center" w:pos="1509"/>
              </w:tabs>
              <w:spacing w:line="480" w:lineRule="auto"/>
            </w:pPr>
            <w:r>
              <w:t>D-dimer</w:t>
            </w:r>
            <w:r>
              <w:rPr>
                <w:rFonts w:cstheme="minorHAnsi"/>
              </w:rPr>
              <w:t>(0.19 – 0.50 mg/L)</w:t>
            </w:r>
            <w:r>
              <w:tab/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1.07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0.98 – 1.16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0.09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rPr>
                <w:rFonts w:cstheme="minorHAnsi"/>
              </w:rPr>
              <w:t>Aspartate A</w:t>
            </w:r>
            <w:r w:rsidRPr="00247FE1">
              <w:rPr>
                <w:rFonts w:cstheme="minorHAnsi"/>
              </w:rPr>
              <w:t>minotransferase</w:t>
            </w:r>
            <w:r>
              <w:rPr>
                <w:rFonts w:cstheme="minorHAnsi"/>
              </w:rPr>
              <w:t xml:space="preserve"> (35 – 37 U/L)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1.01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1.00 – 1.03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0.045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Albumin</w:t>
            </w:r>
            <w:r>
              <w:rPr>
                <w:rFonts w:cstheme="minorHAnsi"/>
              </w:rPr>
              <w:t>(3.5 – 5.5 g/</w:t>
            </w:r>
            <w:proofErr w:type="spellStart"/>
            <w:r>
              <w:rPr>
                <w:rFonts w:cstheme="minorHAnsi"/>
              </w:rPr>
              <w:t>dL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0.48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0.16 – 1.40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0.18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lastRenderedPageBreak/>
              <w:t>COPD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0.41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0.11 – 1.35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0.14</w:t>
            </w:r>
          </w:p>
        </w:tc>
      </w:tr>
      <w:tr w:rsidR="00DC505D" w:rsidTr="009F202F">
        <w:tc>
          <w:tcPr>
            <w:tcW w:w="3235" w:type="dxa"/>
          </w:tcPr>
          <w:p w:rsidR="00DC505D" w:rsidRDefault="00DC505D" w:rsidP="009F202F">
            <w:pPr>
              <w:spacing w:line="480" w:lineRule="auto"/>
            </w:pPr>
            <w:r>
              <w:t>Immunocompromised status</w:t>
            </w:r>
          </w:p>
        </w:tc>
        <w:tc>
          <w:tcPr>
            <w:tcW w:w="1468" w:type="dxa"/>
          </w:tcPr>
          <w:p w:rsidR="00DC505D" w:rsidRDefault="00DC505D" w:rsidP="009F202F">
            <w:pPr>
              <w:spacing w:line="480" w:lineRule="auto"/>
            </w:pPr>
            <w:r>
              <w:t>3.68</w:t>
            </w:r>
          </w:p>
        </w:tc>
        <w:tc>
          <w:tcPr>
            <w:tcW w:w="2323" w:type="dxa"/>
          </w:tcPr>
          <w:p w:rsidR="00DC505D" w:rsidRDefault="00DC505D" w:rsidP="009F202F">
            <w:pPr>
              <w:spacing w:line="480" w:lineRule="auto"/>
            </w:pPr>
            <w:r>
              <w:t>1.11 – 12.17</w:t>
            </w:r>
          </w:p>
        </w:tc>
        <w:tc>
          <w:tcPr>
            <w:tcW w:w="2324" w:type="dxa"/>
          </w:tcPr>
          <w:p w:rsidR="00DC505D" w:rsidRDefault="00DC505D" w:rsidP="009F202F">
            <w:pPr>
              <w:spacing w:line="480" w:lineRule="auto"/>
            </w:pPr>
            <w:r>
              <w:t>0.032</w:t>
            </w:r>
          </w:p>
        </w:tc>
      </w:tr>
    </w:tbl>
    <w:p w:rsidR="00DC505D" w:rsidRDefault="00DC505D" w:rsidP="00DC505D">
      <w:pPr>
        <w:spacing w:line="480" w:lineRule="auto"/>
      </w:pPr>
      <w:proofErr w:type="spellStart"/>
      <w:proofErr w:type="gramStart"/>
      <w:r>
        <w:t>Suppl</w:t>
      </w:r>
      <w:proofErr w:type="spellEnd"/>
      <w:r>
        <w:t xml:space="preserve"> 1.</w:t>
      </w:r>
      <w:proofErr w:type="gramEnd"/>
      <w:r>
        <w:t xml:space="preserve"> Table S1. </w:t>
      </w:r>
      <w:proofErr w:type="gramStart"/>
      <w:r>
        <w:t>Univariate analysis predicting severe breakthrough COVID-19 infection.</w:t>
      </w:r>
      <w:proofErr w:type="gramEnd"/>
      <w:r>
        <w:t xml:space="preserve"> The variables with P value&lt;0.20 are included in the table, except vaccination status. </w:t>
      </w:r>
      <w:r>
        <w:rPr>
          <w:rFonts w:cstheme="minorHAnsi"/>
        </w:rPr>
        <w:t>SPO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= Oxygen Saturation; WBC= White Cell Count; COPD= Chronic Obstructive Pulmonary Disease. </w:t>
      </w:r>
    </w:p>
    <w:p w:rsidR="00603C8B" w:rsidRDefault="00603C8B"/>
    <w:sectPr w:rsidR="00603C8B" w:rsidSect="0060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 w:grammar="clean"/>
  <w:defaultTabStop w:val="720"/>
  <w:characterSpacingControl w:val="doNotCompress"/>
  <w:compat>
    <w:useFELayout/>
  </w:compat>
  <w:rsids>
    <w:rsidRoot w:val="00DC505D"/>
    <w:rsid w:val="00603C8B"/>
    <w:rsid w:val="00DC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05D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2022-01-21T19:23:00Z</dcterms:created>
  <dcterms:modified xsi:type="dcterms:W3CDTF">2022-01-21T19:23:00Z</dcterms:modified>
</cp:coreProperties>
</file>