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4D" w:rsidRPr="006431CD" w:rsidRDefault="00C33D4D" w:rsidP="00C33D4D">
      <w:pPr>
        <w:adjustRightInd w:val="0"/>
      </w:pPr>
      <w:r w:rsidRPr="006431CD">
        <w:t>Table 1s</w:t>
      </w:r>
    </w:p>
    <w:p w:rsidR="00C33D4D" w:rsidRPr="006431CD" w:rsidRDefault="00C33D4D" w:rsidP="00C33D4D">
      <w:pPr>
        <w:adjustRightInd w:val="0"/>
      </w:pPr>
      <w:r w:rsidRPr="006431CD">
        <w:t>Complete list of baseline characteristics.</w:t>
      </w:r>
    </w:p>
    <w:p w:rsidR="00C33D4D" w:rsidRPr="006431CD" w:rsidRDefault="00C33D4D" w:rsidP="00C33D4D">
      <w:pPr>
        <w:adjustRightInd w:val="0"/>
      </w:pPr>
    </w:p>
    <w:tbl>
      <w:tblPr>
        <w:tblStyle w:val="a3"/>
        <w:tblW w:w="10435" w:type="dxa"/>
        <w:tblLook w:val="04A0"/>
      </w:tblPr>
      <w:tblGrid>
        <w:gridCol w:w="3336"/>
        <w:gridCol w:w="1698"/>
        <w:gridCol w:w="1694"/>
        <w:gridCol w:w="1698"/>
        <w:gridCol w:w="2009"/>
      </w:tblGrid>
      <w:tr w:rsidR="00C33D4D" w:rsidRPr="006431CD" w:rsidTr="00637BF0">
        <w:trPr>
          <w:trHeight w:val="1790"/>
        </w:trPr>
        <w:tc>
          <w:tcPr>
            <w:tcW w:w="333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EEECE1" w:themeFill="background2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Variable</w:t>
            </w:r>
          </w:p>
        </w:tc>
        <w:tc>
          <w:tcPr>
            <w:tcW w:w="1698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EEECE1" w:themeFill="background2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M (SD) or 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Frequency (%)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Whole Sample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(n=402)</w:t>
            </w:r>
          </w:p>
        </w:tc>
        <w:tc>
          <w:tcPr>
            <w:tcW w:w="1694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EEECE1" w:themeFill="background2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M (SD) or 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Frequency (%)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Non-intubated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(n=154)</w:t>
            </w:r>
          </w:p>
        </w:tc>
        <w:tc>
          <w:tcPr>
            <w:tcW w:w="1698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EEECE1" w:themeFill="background2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M (SD) or 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Frequency (%)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Intubated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(n=248)</w:t>
            </w:r>
          </w:p>
        </w:tc>
        <w:tc>
          <w:tcPr>
            <w:tcW w:w="2009" w:type="dxa"/>
            <w:tcBorders>
              <w:top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EEECE1" w:themeFill="background2"/>
            <w:hideMark/>
          </w:tcPr>
          <w:p w:rsidR="00C33D4D" w:rsidRPr="006431CD" w:rsidRDefault="00C33D4D" w:rsidP="00637BF0">
            <w:pPr>
              <w:adjustRightInd w:val="0"/>
              <w:rPr>
                <w:color w:val="4F81BD" w:themeColor="accent1"/>
              </w:rPr>
            </w:pPr>
            <w:r w:rsidRPr="006431CD">
              <w:t>p-value</w:t>
            </w:r>
          </w:p>
        </w:tc>
      </w:tr>
      <w:tr w:rsidR="00C33D4D" w:rsidRPr="006431CD" w:rsidTr="00637BF0">
        <w:tc>
          <w:tcPr>
            <w:tcW w:w="10435" w:type="dxa"/>
            <w:gridSpan w:val="5"/>
            <w:tcBorders>
              <w:top w:val="single" w:sz="4" w:space="0" w:color="984806" w:themeColor="accent6" w:themeShade="80"/>
            </w:tcBorders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  <w:rPr>
                <w:iCs/>
              </w:rPr>
            </w:pPr>
            <w:r w:rsidRPr="006431CD">
              <w:rPr>
                <w:b/>
                <w:bCs/>
                <w:iCs/>
                <w:color w:val="000000" w:themeColor="text1"/>
              </w:rPr>
              <w:t>Demographics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Age (years)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65.9 (16.32)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67.7 (17.45)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64.8 (15.51)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Age (&gt;65 years)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213 (53.0)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80 (51.9)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133 (53.6)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0.74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Sex (female)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136 (33.8)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57 (37.0)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79 (31.9)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0.29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Race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White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Black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Asian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Other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230 (57.2)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37 (9.2)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44 (10.9)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91 (22.6)</w:t>
            </w:r>
          </w:p>
        </w:tc>
        <w:tc>
          <w:tcPr>
            <w:tcW w:w="1694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83 (53.9)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15 (9.7)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20 (13.0)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36 (23.4)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147 (59.3)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22 (8.9)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24 (9.7)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55 (22.2)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0.67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Ethnicity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Non-Hispanic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Hispanic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Unknown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318 (78.9)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77 (19.1)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7 (1.7)</w:t>
            </w:r>
          </w:p>
        </w:tc>
        <w:tc>
          <w:tcPr>
            <w:tcW w:w="1694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123 (79.9)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26 (16.9)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5 (3.2)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195 (78.6)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51 (20.6)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 (0.8)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0.16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  <w:i/>
              </w:rPr>
              <w:t>Preexisting Comorbidities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Obesity (BMI </w:t>
            </w:r>
            <w:r w:rsidRPr="006431CD">
              <w:rPr>
                <w:color w:val="333333"/>
                <w:shd w:val="clear" w:color="auto" w:fill="FFFFFF"/>
              </w:rPr>
              <w:t xml:space="preserve">≥ </w:t>
            </w:r>
            <w:r w:rsidRPr="006431CD">
              <w:t>30)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168 (41.8)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48 (33.3)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120 (48.8)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0.003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Smoking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Never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Active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Former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Unknown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153 (38.1)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7 (1.7)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37 (9.2)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205 (51.0)</w:t>
            </w:r>
          </w:p>
        </w:tc>
        <w:tc>
          <w:tcPr>
            <w:tcW w:w="1694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57 (37.0)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 (1.3)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10 (6.5)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85 (55.2)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96 (38.7)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5 (2.0)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27 (10.9)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120 (48.4)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0.38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Hypertension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240 (59.7)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90 (58.4)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150 (60.5)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0.69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Diabetes mellitus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142 (35.3)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47 (30.5)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95 (38.3)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0.11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Cerebrovascular accident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 (4.5)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 (5.8)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 (3.6)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0.30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Atrial fibrillation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40 (10.0)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16 (10.4)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 (9.7)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0.83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Heart failure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47 (11.7)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16 (10.4)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31 (12.6)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0.51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Chronic obstructive pulmonary disease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27 (6.7)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 (9.7)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 (4.9)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0.06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Asthma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32 (8.0)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 (7.8)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20 (8.1)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0.92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Deep vein thrombosis/pulmonary embolism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 (2.7)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 (3.2)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 (2.4)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0.76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Chronic kidney disease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23 (5.7)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 (7.1)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 (4.9)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0.34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Coronary artery disease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58 (14.4)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22 (14.3)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36 (14.5)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0.95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Cancer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No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 xml:space="preserve">  Active treatment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 xml:space="preserve">  Past 5 years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373 (92.8)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14 (3.5)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>14 (3.5)</w:t>
            </w:r>
          </w:p>
        </w:tc>
        <w:tc>
          <w:tcPr>
            <w:tcW w:w="1694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144 (94.1)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4 (2.6)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>5 (3.3)</w:t>
            </w:r>
          </w:p>
        </w:tc>
        <w:tc>
          <w:tcPr>
            <w:tcW w:w="1698" w:type="dxa"/>
          </w:tcPr>
          <w:p w:rsidR="00C33D4D" w:rsidRPr="006431CD" w:rsidRDefault="00C33D4D" w:rsidP="00637BF0">
            <w:pPr>
              <w:adjustRightInd w:val="0"/>
            </w:pPr>
          </w:p>
          <w:p w:rsidR="00C33D4D" w:rsidRPr="006431CD" w:rsidRDefault="00C33D4D" w:rsidP="00637BF0">
            <w:pPr>
              <w:adjustRightInd w:val="0"/>
            </w:pPr>
            <w:r w:rsidRPr="006431CD">
              <w:t>229 (92.3)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t>10 (4.0)</w:t>
            </w:r>
          </w:p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>9 (3.6)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>0.74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lastRenderedPageBreak/>
              <w:t xml:space="preserve">Dementia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37 (9.2)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22 (14.3)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 (6.0)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0.01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rPr>
                <w:b/>
                <w:bCs/>
                <w:i/>
              </w:rPr>
              <w:t>Presenting symptoms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Fever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293 (72.9)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104 (68.0)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189 (76.2)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0.07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Cough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283 (70.4)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105 (68.6)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178 (71.8)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0.50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Anosmia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 (0.7)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 (1.3)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 (0.4)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0.56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Ageusia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 (1.0)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 (2.0)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 (0.4)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0.16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Myalgia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74 (18.4)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 (15.7)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50 (20.2)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0.26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Nausea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39 (9.7)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16 (10.5)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23 (9.3)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0.68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Vomiting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 (5.2)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 (5.2)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 (5.2)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1.00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Diarrhea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58 (14.4)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25 (16.3)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33 (13.3)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0.40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Shortness of breath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334 (83.1)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126 (82.4)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208 (83.9)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0.69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Chest pain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37 (9.2)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 (9.9)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22 (8.9)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0.74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rPr>
                <w:b/>
                <w:bCs/>
                <w:i/>
              </w:rPr>
              <w:t>Vital signs on admission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Systolic blood pressure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131.0 (22.74)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131.0 (20.48)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130.9 (24.08)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0.97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Diastolic blood pressure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75.0 (17.30)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75.0 (17.41)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75.1 (17.26)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0.95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Heart rate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101.4 (20.80)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98.1 (19.15)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103.4 (21.55)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Oxygen saturation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87.0 (10.83)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88.1 (9.45)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86.2 (11.54)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Respiratory rate [mean]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27.1 (7.73)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24.7 (5.64)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28.6 (8.44)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  <w:color w:val="000000" w:themeColor="text1"/>
              </w:rPr>
              <w:t>&lt;0.001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rPr>
                <w:b/>
                <w:bCs/>
                <w:i/>
              </w:rPr>
              <w:t>Laboratory values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White blood cell count K/UL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8.8 (4.30)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8.8 (4.72)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8.7 (4.02)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0.88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Lymphocyte count K/UL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12.2 (9.49)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13.0 (11.16)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11.8 (8.28)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0.70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Platelets K/UL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211.9 (90.52)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226.7 (106.91)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202.8 (77.57)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Hemoglobin g/Dl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13.0 (2.09)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12.8 (2.07)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13.1 (2.10)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0.21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Serum sodium mmol/L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135.8 (7.95)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137.4 (8.46)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134.8 (7.46)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Creatinine mg/dL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1.5 (1.55)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1.5 (1.46)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1.4 (1.60)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0.97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C-reactive protein mg/dL (highest)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24.7 (11.43)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18.7 (9.34)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28.5 (11.03)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Ferritin </w:t>
            </w:r>
            <w:r w:rsidRPr="006431CD">
              <w:rPr>
                <w:color w:val="333333"/>
                <w:shd w:val="clear" w:color="auto" w:fill="FFFFFF"/>
              </w:rPr>
              <w:t>ng/mL</w:t>
            </w:r>
            <w:r w:rsidRPr="006431CD">
              <w:t xml:space="preserve"> (highest)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1,590.1 (1,729.85)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1,240.7 (1,406.26)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1,809.4 (1,874.96)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D-dimer </w:t>
            </w:r>
            <w:r w:rsidRPr="006431CD">
              <w:rPr>
                <w:color w:val="333333"/>
                <w:shd w:val="clear" w:color="auto" w:fill="FFFFFF"/>
              </w:rPr>
              <w:t>ng/mL</w:t>
            </w:r>
            <w:r w:rsidRPr="006431CD">
              <w:t xml:space="preserve"> (highest)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7502.0 (11,480.45)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3,297.1 (6,408.80)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9,692.1 (12,867.37)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Lactate dehydrogenase IU/L (highest)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747.2 (821.18)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577.8 (416.61)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846.6 (971.19)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Glomerular filtration rate (admission)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50.9 (15.52)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48.4 (17.21)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52.4 (14.21)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Troponin </w:t>
            </w:r>
            <w:r w:rsidRPr="006431CD">
              <w:rPr>
                <w:color w:val="333333"/>
                <w:shd w:val="clear" w:color="auto" w:fill="FFFFFF"/>
              </w:rPr>
              <w:t>ng/mL</w:t>
            </w:r>
            <w:r w:rsidRPr="006431CD">
              <w:t xml:space="preserve"> (highest)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1.3 (6.40)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1.3 (8.40)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1.2 (4.83)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Procalcitonin </w:t>
            </w:r>
            <w:r w:rsidRPr="006431CD">
              <w:rPr>
                <w:color w:val="333333"/>
                <w:shd w:val="clear" w:color="auto" w:fill="FFFFFF"/>
              </w:rPr>
              <w:t>ng/mL</w:t>
            </w:r>
            <w:r w:rsidRPr="006431CD">
              <w:t xml:space="preserve"> (highest)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6.5 (12.22)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1.9 (4.49)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9.1 (41.33)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  <w:i/>
                <w:color w:val="000000" w:themeColor="text1"/>
              </w:rPr>
              <w:t>Management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Vasopressor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231 (57.5)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 (7.2)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220 (88.7)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Need for hemodialysis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80 (19.9)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 (3.3)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75 (30.2)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Need for ECMO support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 (1.0)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 (0.0)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 (1.6)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0.30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Need for blood transfusion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84 (20.9)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 (5.2)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76 (30.9)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Hydroxychloroquine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374 (93.0)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138 (90.2)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236 (95.5)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Azithromycin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372 (92.5)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139 (90.8)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233 (94.0)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0.24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Ritonavir/lopinavir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 (1.7)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 (1.3)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5 (2.0)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0.71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Steroids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153 (38.1)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31 (20.3)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122 (49.2)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Prophylactic anticoagulation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313 (77.9)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127 (84.7)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186 (75.9)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Therapeutic anticoagulation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156 (38.8)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47 (30.7)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109 (44.1)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Convalescent plasma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30 (7.5)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10 (6.7)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20 (8.1)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0.59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Remdesivir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39 (9.7)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 (0.0)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39 (15.7)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Vitamin C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254 (63.2)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87 (58.4)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167 (67.3)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0.07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Zinc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214 (53.2)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64 (43.0)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150 (60.5)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Tocilizumab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118 (29.4)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41 (26.6)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77 (31.0)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0.34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Antibiotics for suspected bacterial infection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368 (91.5)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123 (80.4)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245 (98.8)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rPr>
                <w:i/>
                <w:color w:val="000000" w:themeColor="text1"/>
              </w:rPr>
              <w:t>Complications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Diagnosis of deep vein thrombosis/pulmonary embolism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 (4.5)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6 (3.9)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12 (4.9)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0.65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Diagnosis of cerebrovascular accident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11 (2.7)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4 (2.7)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 (2.8)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1.00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Diagnosis of bacteremia/fungemia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84 (20.9)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8 (5.2)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76 (30.8)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  <w:rPr>
                <w:b/>
                <w:bCs/>
              </w:rPr>
            </w:pPr>
            <w:r w:rsidRPr="006431CD">
              <w:rPr>
                <w:b/>
                <w:bCs/>
              </w:rPr>
              <w:t>&lt;0.001</w:t>
            </w:r>
          </w:p>
        </w:tc>
      </w:tr>
      <w:tr w:rsidR="00C33D4D" w:rsidRPr="006431CD" w:rsidTr="00637BF0">
        <w:tc>
          <w:tcPr>
            <w:tcW w:w="10435" w:type="dxa"/>
            <w:gridSpan w:val="5"/>
            <w:shd w:val="clear" w:color="auto" w:fill="DDD9C3" w:themeFill="background2" w:themeFillShade="E6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rPr>
                <w:b/>
                <w:bCs/>
                <w:i/>
              </w:rPr>
              <w:t>Outcomes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Mortality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218 (54.2)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34 (22.1)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184 (74.2)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&lt;0.001</w:t>
            </w:r>
          </w:p>
        </w:tc>
      </w:tr>
      <w:tr w:rsidR="00C33D4D" w:rsidRPr="006431CD" w:rsidTr="00637BF0">
        <w:tc>
          <w:tcPr>
            <w:tcW w:w="3336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 xml:space="preserve">Length of stay (days) [mean] 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19.1 (17.23)</w:t>
            </w:r>
          </w:p>
        </w:tc>
        <w:tc>
          <w:tcPr>
            <w:tcW w:w="1694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14.8 (12.67)</w:t>
            </w:r>
          </w:p>
        </w:tc>
        <w:tc>
          <w:tcPr>
            <w:tcW w:w="1698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21.7 (19.08)</w:t>
            </w:r>
          </w:p>
        </w:tc>
        <w:tc>
          <w:tcPr>
            <w:tcW w:w="2009" w:type="dxa"/>
            <w:hideMark/>
          </w:tcPr>
          <w:p w:rsidR="00C33D4D" w:rsidRPr="006431CD" w:rsidRDefault="00C33D4D" w:rsidP="00637BF0">
            <w:pPr>
              <w:adjustRightInd w:val="0"/>
            </w:pPr>
            <w:r w:rsidRPr="006431CD">
              <w:t>&lt;0.001</w:t>
            </w:r>
          </w:p>
        </w:tc>
      </w:tr>
    </w:tbl>
    <w:p w:rsidR="00C33D4D" w:rsidRPr="006431CD" w:rsidRDefault="00C33D4D" w:rsidP="00C33D4D">
      <w:pPr>
        <w:adjustRightInd w:val="0"/>
      </w:pPr>
    </w:p>
    <w:p w:rsidR="00C33D4D" w:rsidRPr="006431CD" w:rsidRDefault="00C33D4D" w:rsidP="00C33D4D">
      <w:pPr>
        <w:adjustRightInd w:val="0"/>
        <w:rPr>
          <w:b/>
        </w:rPr>
      </w:pPr>
      <w:r w:rsidRPr="006431CD">
        <w:t>Note: M=mean, SD=standard deviation.  One patient was still hospitalized.  Sample size for continuous variables less than 402 are: Oxygen saturation (n=395), Respiratory rate (n=395), White blood cell (n=401), Lymphocyte (n=401), Platelet (n=401), Hemoglobin (n=401), Creatinine (n=400), C-reactive protein (n=393), Ferritin (n=376), D-dimer (n=217), Lactate dehydrogenase (n=376), Glomerular filtration rate (n=395), Troponin (n=391), Procalcitonin (n=349).  Sample size for categorical variables missing are: Obesity (n=12), Atrial fibrillation (n=1), Heart failure (n=1), Chronic obstructive pulmonary disease (n=1), Chronic kidney disease (n=1), Cancer (n=1), Fever (n=1), Cough (n=1), Anosmia (n=1), Ageusia (n=3), Myalgia (n=1), Nausea (n=2), Vomiting (n=1), Shortness of breath (n=1), Chest pain (n=2), Vasopressor (n=1), Need for hemodialysis (n=1), Need for ecmo support (n=1), Need for blood transfusion (n=4), Hydroxychloroquine (n=2), Azithromycin (n=1), Ritonavir/lopinavir (n=3), Steroids (n=1), Prophylactic anticoagulation (n=7), Therapeutic anticoagulation (n=2), Convalescent plasma (n=6), Remdesivir (n=1), Vitamin C (n=5), Zinc (n=5),</w:t>
      </w:r>
      <w:r w:rsidRPr="006431CD">
        <w:rPr>
          <w:color w:val="FF0000"/>
        </w:rPr>
        <w:t xml:space="preserve"> </w:t>
      </w:r>
      <w:r w:rsidRPr="006431CD">
        <w:t xml:space="preserve">Antibiotics for suspected bacterial infection (n=1), Diagnosis of deep vein thrombosis/pulmonary embolism (n=3), Diagnosis of cerebrovascular accident (n=8), and Diagnosis of bacteremia/fungemia (n=1). Comparison between non-intubation and intubation groups reports percentages only for cases analyzed and does not include missing cases.  </w:t>
      </w:r>
      <w:r w:rsidRPr="006431CD">
        <w:rPr>
          <w:bCs/>
        </w:rPr>
        <w:t>Prophylactic anticoagulation included enoxaparin 40 mg (n=60, 14.9%) enoxaparin 60 mg (n=123, 30.6%), Heparin (n=75, 18.7%), and Low dose apixaban (n=55, 13.7%).  Therapeutic anticoagulation included enoxaparin (n=64, 15.9%), Heparin drip (n=18, 4.5%), DOAC (n=71, 17.7%), and Coumadin (n=3, 0.7%).</w:t>
      </w:r>
      <w:r w:rsidRPr="006431CD">
        <w:rPr>
          <w:b/>
        </w:rPr>
        <w:t xml:space="preserve"> </w:t>
      </w:r>
    </w:p>
    <w:p w:rsidR="00FB2264" w:rsidRDefault="00FB2264"/>
    <w:sectPr w:rsidR="00FB2264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20"/>
  <w:characterSpacingControl w:val="doNotCompress"/>
  <w:savePreviewPicture/>
  <w:compat>
    <w:useFELayout/>
  </w:compat>
  <w:rsids>
    <w:rsidRoot w:val="00C33D4D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096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3D4D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4D"/>
    <w:pPr>
      <w:spacing w:after="0" w:line="240" w:lineRule="auto"/>
    </w:pPr>
    <w:rPr>
      <w:rFonts w:eastAsia="宋体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2020-12-22T20:12:00Z</dcterms:created>
  <dcterms:modified xsi:type="dcterms:W3CDTF">2020-12-22T20:12:00Z</dcterms:modified>
</cp:coreProperties>
</file>